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color w:val="1C1C1C"/>
          <w:sz w:val="34"/>
          <w:szCs w:val="34"/>
        </w:rPr>
        <w:t xml:space="preserve">VIVIENNE BROOKS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New York, NY  |  (212) 740-6683  |  vivienne.brooks@email.com  |  linkedin.com/in/viviennebrooks</w:t>
      </w:r>
    </w:p>
    <w:p>
      <w:pPr>
        <w:pBdr>
          <w:bottom w:val="single" w:color="AAAAAA" w:sz="4" w:space="1"/>
        </w:pBdr>
        <w:spacing w:after="12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March 13, 2026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Mr. Jonathan Graves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Managing Partner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Graves &amp; Holloway LLP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1285 Avenue of the Americas, 34th Floor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New York, NY 10019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Dear Mr. Graves,</w:t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Legal Administrative Assistant position at Graves &amp; Holloway LLP. With five years of experience supporting attorneys at mid-size litigation and corporate law firms, I have developed a thorough understanding of the document management, scheduling, and communication demands that define high-quality legal administrative support.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In my current role at Whitmore &amp; Associates, I support three litigation partners and two senior associates. My daily responsibilities include drafting and proofreading correspondence, managing court filing deadlines in a docketing system, preparing and formatting legal documents including briefs, motions, and contracts, and coordinating deposition schedules with opposing counsel. I have strong working knowledge of e-filing in both state and federal court systems, and I manage case files with the attention to detail that legal proceedings require.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proficient in iManage, Clio, Microsoft Office Suite, and Adobe Acrobat Pro. I understand the confidentiality expectations of attorney-client privilege and take that responsibility seriously in every aspect of the role. I am organized under pressure, accurate in tight deadlines, and I take real satisfaction in making attorneys' days run more efficiently so they can focus on their clients.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Graves &amp; Holloway's strong reputation in corporate litigation and its culture of rigorous professional standards are exactly what I am looking for in my next position. I am confident I can step in and contribute from the start.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Thank you for your consideration. I would welcome the opportunity to discuss my qualifications further.</w:t>
      </w:r>
    </w:p>
    <w:p>
      <w:pP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1C1C1C"/>
          <w:sz w:val="20"/>
          <w:szCs w:val="20"/>
        </w:rPr>
        <w:t xml:space="preserve">Vivienne Brooks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2026-03-13T15:44:35.101Z</dcterms:created>
  <dcterms:modified xsi:type="dcterms:W3CDTF">2026-03-13T15:44:35.101Z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